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R4-2000045</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RSSI and CO report</w:t>
      </w:r>
      <w:r>
        <w:rPr>
          <w:rFonts w:hint="eastAsia" w:ascii="Arial" w:hAnsi="Arial" w:eastAsia="宋体" w:cs="Arial"/>
          <w:b/>
          <w:bCs/>
          <w:sz w:val="24"/>
          <w:lang w:val="en-US" w:eastAsia="zh-CN"/>
        </w:rPr>
        <w:t xml:space="preserve"> mapp</w:t>
      </w:r>
      <w:r>
        <w:rPr>
          <w:rFonts w:hint="eastAsia" w:ascii="Arial" w:hAnsi="Arial" w:eastAsia="Calibri" w:cs="Arial"/>
          <w:b/>
          <w:bCs/>
          <w:sz w:val="24"/>
          <w:lang w:val="en-GB"/>
        </w:rPr>
        <w:t>ing for NR-U v2</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8.1.4.12</w:t>
      </w:r>
      <w:bookmarkStart w:id="3" w:name="_GoBack"/>
      <w:bookmarkEnd w:id="3"/>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eastAsia="宋体"/>
          <w:lang w:eastAsia="zh-CN"/>
        </w:rPr>
      </w:pPr>
      <w:r>
        <w:rPr>
          <w:rFonts w:hint="eastAsia" w:eastAsia="宋体" w:cs="Times New Roman"/>
          <w:szCs w:val="20"/>
          <w:lang w:eastAsia="zh-CN"/>
        </w:rPr>
        <w:t xml:space="preserve">In RAN1 98, the measurement bandwidth of RSSI in NR-U is supported to be </w:t>
      </w:r>
      <w:r>
        <w:t>at least in units of LBT bandwidths</w:t>
      </w:r>
      <w:r>
        <w:rPr>
          <w:rFonts w:hint="eastAsia" w:eastAsia="宋体"/>
          <w:lang w:eastAsia="zh-CN"/>
        </w:rPr>
        <w:t>. What</w:t>
      </w:r>
      <w:r>
        <w:rPr>
          <w:rFonts w:eastAsia="宋体"/>
          <w:lang w:eastAsia="zh-CN"/>
        </w:rPr>
        <w:t>’</w:t>
      </w:r>
      <w:r>
        <w:rPr>
          <w:rFonts w:hint="eastAsia" w:eastAsia="宋体"/>
          <w:lang w:eastAsia="zh-CN"/>
        </w:rPr>
        <w:t>s more, it</w:t>
      </w:r>
      <w:r>
        <w:rPr>
          <w:rFonts w:eastAsia="宋体"/>
          <w:lang w:eastAsia="zh-CN"/>
        </w:rPr>
        <w:t>’</w:t>
      </w:r>
      <w:r>
        <w:rPr>
          <w:rFonts w:hint="eastAsia" w:eastAsia="宋体"/>
          <w:lang w:eastAsia="zh-CN"/>
        </w:rPr>
        <w:t xml:space="preserve">s up to </w:t>
      </w:r>
      <w:r>
        <w:t xml:space="preserve">RAN4 </w:t>
      </w:r>
      <w:r>
        <w:rPr>
          <w:rFonts w:hint="eastAsia" w:eastAsia="宋体"/>
          <w:lang w:eastAsia="zh-CN"/>
        </w:rPr>
        <w:t>to</w:t>
      </w:r>
      <w:r>
        <w:t xml:space="preserve"> determine if the bandwidth used for the measurement within an LBT bandwidth can be less than the signaled measurement bandwidth.</w:t>
      </w:r>
      <w:r>
        <w:rPr>
          <w:rFonts w:hint="eastAsia" w:eastAsia="宋体"/>
          <w:lang w:eastAsia="zh-CN"/>
        </w:rPr>
        <w:t xml:space="preserve"> This paper intends to provide view on this topic.</w:t>
      </w:r>
    </w:p>
    <w:p>
      <w:pPr>
        <w:pStyle w:val="28"/>
        <w:jc w:val="both"/>
        <w:rPr>
          <w:lang w:val="en-US" w:eastAsia="zh-CN"/>
        </w:rPr>
      </w:pPr>
      <w:r>
        <w:t>2</w:t>
      </w:r>
      <w:r>
        <w:tab/>
      </w:r>
      <w:r>
        <w:rPr>
          <w:rFonts w:hint="eastAsia"/>
          <w:lang w:val="en-US" w:eastAsia="zh-CN"/>
        </w:rPr>
        <w:t>RSSI measurement</w:t>
      </w:r>
      <w:r>
        <w:rPr>
          <w:lang w:val="en-US" w:eastAsia="zh-CN"/>
        </w:rPr>
        <w:t xml:space="preserve"> </w:t>
      </w:r>
      <w:r>
        <w:rPr>
          <w:rFonts w:hint="eastAsia"/>
          <w:lang w:val="en-US" w:eastAsia="zh-CN"/>
        </w:rPr>
        <w:t>in NR-U</w:t>
      </w:r>
    </w:p>
    <w:p>
      <w:pPr>
        <w:pStyle w:val="40"/>
        <w:numPr>
          <w:ilvl w:val="0"/>
          <w:numId w:val="0"/>
        </w:numPr>
      </w:pPr>
      <w:r>
        <w:rPr>
          <w:rFonts w:hint="eastAsia" w:eastAsia="宋体"/>
          <w:lang w:val="en-US" w:eastAsia="zh-CN"/>
        </w:rPr>
        <w:t>In RAN1 98 [1], the following agreement is reached:</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rPr>
            </w:pPr>
            <w:r>
              <w:rPr>
                <w:rFonts w:hint="default" w:ascii="Arial" w:hAnsi="Arial"/>
                <w:sz w:val="20"/>
                <w:highlight w:val="green"/>
              </w:rPr>
              <w:t>Agreement:</w:t>
            </w:r>
          </w:p>
          <w:p>
            <w:pPr>
              <w:pStyle w:val="26"/>
              <w:keepNext w:val="0"/>
              <w:keepLines w:val="0"/>
              <w:widowControl/>
              <w:numPr>
                <w:ilvl w:val="0"/>
                <w:numId w:val="6"/>
              </w:numPr>
              <w:suppressLineNumbers w:val="0"/>
              <w:spacing w:before="0" w:beforeAutospacing="0" w:afterAutospacing="0"/>
              <w:ind w:left="360" w:right="0"/>
              <w:rPr>
                <w:rFonts w:hint="default" w:ascii="Arial" w:hAnsi="Arial"/>
                <w:sz w:val="20"/>
              </w:rPr>
            </w:pPr>
            <w:r>
              <w:rPr>
                <w:rFonts w:hint="default" w:ascii="Arial" w:hAnsi="Arial"/>
                <w:sz w:val="20"/>
              </w:rPr>
              <w:t>The RSSI measurement timing configuration (RMTC) includes the following:</w:t>
            </w:r>
          </w:p>
          <w:p>
            <w:pPr>
              <w:pStyle w:val="26"/>
              <w:keepNext w:val="0"/>
              <w:keepLines w:val="0"/>
              <w:widowControl/>
              <w:numPr>
                <w:ilvl w:val="0"/>
                <w:numId w:val="7"/>
              </w:numPr>
              <w:suppressLineNumbers w:val="0"/>
              <w:spacing w:before="0" w:beforeAutospacing="0" w:afterAutospacing="0"/>
              <w:ind w:left="720" w:right="0"/>
              <w:rPr>
                <w:rFonts w:hint="default" w:ascii="Arial" w:hAnsi="Arial"/>
                <w:sz w:val="20"/>
              </w:rPr>
            </w:pPr>
            <w:r>
              <w:rPr>
                <w:rFonts w:hint="default" w:ascii="Arial" w:hAnsi="Arial"/>
                <w:sz w:val="20"/>
              </w:rPr>
              <w:t xml:space="preserve">Time-domain parameters: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 xml:space="preserve">Periodicity (e.g., 40/80/160/320/640 ms)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duration in terms of OFDM symbols with a configured reference subcarrier spacing</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Offset of RMTC measurement duration</w:t>
            </w:r>
          </w:p>
          <w:p>
            <w:pPr>
              <w:pStyle w:val="26"/>
              <w:keepNext w:val="0"/>
              <w:keepLines w:val="0"/>
              <w:widowControl/>
              <w:numPr>
                <w:ilvl w:val="0"/>
                <w:numId w:val="7"/>
              </w:numPr>
              <w:suppressLineNumbers w:val="0"/>
              <w:spacing w:before="0" w:beforeAutospacing="0" w:afterAutospacing="0"/>
              <w:ind w:left="720" w:right="0"/>
              <w:rPr>
                <w:rFonts w:hint="default" w:ascii="Arial" w:hAnsi="Arial"/>
                <w:sz w:val="20"/>
              </w:rPr>
            </w:pPr>
            <w:r>
              <w:rPr>
                <w:rFonts w:hint="default" w:ascii="Arial" w:hAnsi="Arial"/>
                <w:sz w:val="20"/>
              </w:rPr>
              <w:t>Frequency-domain parameters:</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bandwidth at least in units of LBT bandwidths</w:t>
            </w:r>
          </w:p>
          <w:p>
            <w:pPr>
              <w:pStyle w:val="26"/>
              <w:keepNext w:val="0"/>
              <w:keepLines w:val="0"/>
              <w:widowControl/>
              <w:numPr>
                <w:ilvl w:val="1"/>
                <w:numId w:val="6"/>
              </w:numPr>
              <w:suppressLineNumbers w:val="0"/>
              <w:spacing w:before="0" w:beforeAutospacing="0" w:afterAutospacing="0"/>
              <w:ind w:right="0"/>
              <w:rPr>
                <w:rFonts w:hint="default" w:ascii="Arial" w:hAnsi="Arial"/>
                <w:sz w:val="20"/>
              </w:rPr>
            </w:pPr>
            <w:r>
              <w:rPr>
                <w:rFonts w:hint="default" w:ascii="Arial" w:hAnsi="Arial"/>
                <w:sz w:val="20"/>
              </w:rPr>
              <w:t>FFS: Units other than LBT bandwidths</w:t>
            </w:r>
          </w:p>
          <w:p>
            <w:pPr>
              <w:pStyle w:val="26"/>
              <w:keepNext w:val="0"/>
              <w:keepLines w:val="0"/>
              <w:widowControl/>
              <w:numPr>
                <w:ilvl w:val="1"/>
                <w:numId w:val="6"/>
              </w:numPr>
              <w:suppressLineNumbers w:val="0"/>
              <w:spacing w:before="0" w:beforeAutospacing="0" w:afterAutospacing="0"/>
              <w:ind w:right="0"/>
              <w:rPr>
                <w:rFonts w:hint="default" w:ascii="Arial" w:hAnsi="Arial"/>
                <w:sz w:val="20"/>
              </w:rPr>
            </w:pPr>
            <w:r>
              <w:rPr>
                <w:rFonts w:hint="default" w:ascii="Arial" w:hAnsi="Arial"/>
                <w:sz w:val="20"/>
              </w:rPr>
              <w:t xml:space="preserve">Note: RAN4 can determine if the bandwidth used for the measurement within an LBT bandwidth can be less than the signaled measurement bandwidth. </w:t>
            </w:r>
          </w:p>
          <w:p>
            <w:pPr>
              <w:pStyle w:val="26"/>
              <w:keepNext w:val="0"/>
              <w:keepLines w:val="0"/>
              <w:widowControl/>
              <w:numPr>
                <w:ilvl w:val="0"/>
                <w:numId w:val="6"/>
              </w:numPr>
              <w:suppressLineNumbers w:val="0"/>
              <w:spacing w:before="0" w:beforeAutospacing="0" w:afterAutospacing="0"/>
              <w:ind w:left="1080" w:right="0"/>
              <w:rPr>
                <w:rFonts w:hint="default" w:ascii="Arial" w:hAnsi="Arial"/>
                <w:sz w:val="20"/>
              </w:rPr>
            </w:pPr>
            <w:r>
              <w:rPr>
                <w:rFonts w:hint="default" w:ascii="Arial" w:hAnsi="Arial"/>
                <w:sz w:val="20"/>
              </w:rPr>
              <w:t>Measurement ARFCN for inter-frequency measurements</w:t>
            </w:r>
          </w:p>
          <w:p>
            <w:pPr>
              <w:pStyle w:val="26"/>
              <w:keepNext w:val="0"/>
              <w:keepLines w:val="0"/>
              <w:widowControl/>
              <w:numPr>
                <w:ilvl w:val="0"/>
                <w:numId w:val="6"/>
              </w:numPr>
              <w:suppressLineNumbers w:val="0"/>
              <w:spacing w:before="0" w:beforeAutospacing="0" w:afterAutospacing="0"/>
              <w:ind w:left="360" w:right="0"/>
              <w:rPr>
                <w:rFonts w:hint="default" w:ascii="Arial" w:hAnsi="Arial"/>
                <w:sz w:val="20"/>
              </w:rPr>
            </w:pPr>
            <w:r>
              <w:rPr>
                <w:rFonts w:hint="default" w:ascii="Arial" w:hAnsi="Arial"/>
                <w:sz w:val="20"/>
              </w:rPr>
              <w:t>Configurable L3 filtering as in RSSI for LTE-LAA</w:t>
            </w:r>
          </w:p>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rPr>
            </w:pPr>
          </w:p>
          <w:p>
            <w:pPr>
              <w:pStyle w:val="26"/>
              <w:keepNext w:val="0"/>
              <w:keepLines w:val="0"/>
              <w:widowControl/>
              <w:suppressLineNumbers w:val="0"/>
              <w:spacing w:before="0" w:beforeAutospacing="0" w:after="200" w:afterAutospacing="0" w:line="276" w:lineRule="auto"/>
              <w:ind w:left="0" w:right="0"/>
              <w:jc w:val="both"/>
              <w:rPr>
                <w:rFonts w:hint="default" w:ascii="Arial" w:hAnsi="Arial"/>
                <w:sz w:val="20"/>
                <w:u w:val="single"/>
              </w:rPr>
            </w:pPr>
            <w:r>
              <w:rPr>
                <w:rFonts w:hint="default" w:ascii="Arial" w:hAnsi="Arial"/>
                <w:sz w:val="20"/>
                <w:u w:val="single"/>
              </w:rPr>
              <w:t>Conclusion:</w:t>
            </w:r>
          </w:p>
          <w:p>
            <w:pPr>
              <w:pStyle w:val="26"/>
              <w:keepNext w:val="0"/>
              <w:keepLines w:val="0"/>
              <w:widowControl/>
              <w:suppressLineNumbers w:val="0"/>
              <w:spacing w:before="0" w:beforeAutospacing="0" w:after="200" w:afterAutospacing="0" w:line="276" w:lineRule="auto"/>
              <w:ind w:left="0" w:right="0"/>
              <w:jc w:val="both"/>
              <w:rPr>
                <w:rFonts w:hint="default" w:ascii="Arial" w:hAnsi="Arial" w:eastAsia="Calibri" w:cs="Times New Roman"/>
                <w:sz w:val="20"/>
                <w:szCs w:val="20"/>
                <w:lang w:val="en-GB"/>
              </w:rPr>
            </w:pPr>
            <w:r>
              <w:rPr>
                <w:rFonts w:hint="default" w:ascii="Arial" w:hAnsi="Arial"/>
                <w:sz w:val="20"/>
                <w:szCs w:val="20"/>
              </w:rPr>
              <w:t>No new medium contention/load metrics other than channel occupancy are introduced</w:t>
            </w:r>
          </w:p>
        </w:tc>
      </w:tr>
    </w:tbl>
    <w:p>
      <w:pPr>
        <w:pStyle w:val="40"/>
        <w:numPr>
          <w:ilvl w:val="0"/>
          <w:numId w:val="0"/>
        </w:numPr>
        <w:rPr>
          <w:rFonts w:eastAsia="宋体"/>
          <w:sz w:val="22"/>
          <w:szCs w:val="22"/>
          <w:lang w:val="en-US" w:eastAsia="zh-CN"/>
        </w:rPr>
      </w:pPr>
    </w:p>
    <w:p>
      <w:pPr>
        <w:pStyle w:val="40"/>
        <w:rPr>
          <w:rFonts w:eastAsia="宋体"/>
          <w:sz w:val="22"/>
          <w:szCs w:val="22"/>
          <w:lang w:val="en-US" w:eastAsia="zh-CN"/>
        </w:rPr>
      </w:pPr>
      <w:r>
        <w:rPr>
          <w:rFonts w:hint="eastAsia" w:eastAsia="宋体"/>
          <w:sz w:val="22"/>
          <w:szCs w:val="22"/>
          <w:lang w:val="en-US" w:eastAsia="zh-CN"/>
        </w:rPr>
        <w:t>It</w:t>
      </w:r>
      <w:r>
        <w:rPr>
          <w:rFonts w:eastAsia="宋体"/>
          <w:sz w:val="22"/>
          <w:szCs w:val="22"/>
          <w:lang w:val="en-US" w:eastAsia="zh-CN"/>
        </w:rPr>
        <w:t>’</w:t>
      </w:r>
      <w:r>
        <w:rPr>
          <w:rFonts w:hint="eastAsia" w:eastAsia="宋体"/>
          <w:sz w:val="22"/>
          <w:szCs w:val="22"/>
          <w:lang w:val="en-US" w:eastAsia="zh-CN"/>
        </w:rPr>
        <w:t xml:space="preserve">s up to </w:t>
      </w:r>
      <w:r>
        <w:rPr>
          <w:sz w:val="22"/>
          <w:szCs w:val="22"/>
          <w:lang w:val="en-US"/>
        </w:rPr>
        <w:t xml:space="preserve">RAN4 </w:t>
      </w:r>
      <w:r>
        <w:rPr>
          <w:rFonts w:hint="eastAsia" w:eastAsia="宋体"/>
          <w:sz w:val="22"/>
          <w:szCs w:val="22"/>
          <w:lang w:val="en-US" w:eastAsia="zh-CN"/>
        </w:rPr>
        <w:t>to</w:t>
      </w:r>
      <w:r>
        <w:rPr>
          <w:sz w:val="22"/>
          <w:szCs w:val="22"/>
          <w:lang w:val="en-US"/>
        </w:rPr>
        <w:t xml:space="preserve"> determine if the bandwidth used for the measurement within an LBT bandwidth can be less than the signaled measurement bandwidth</w:t>
      </w:r>
      <w:r>
        <w:rPr>
          <w:rFonts w:hint="eastAsia" w:eastAsia="宋体"/>
          <w:sz w:val="22"/>
          <w:szCs w:val="22"/>
          <w:lang w:val="en-US" w:eastAsia="zh-CN"/>
        </w:rPr>
        <w:t>.</w:t>
      </w:r>
    </w:p>
    <w:p>
      <w:pPr>
        <w:rPr>
          <w:rFonts w:eastAsia="宋体"/>
          <w:sz w:val="22"/>
          <w:szCs w:val="22"/>
          <w:lang w:eastAsia="zh-CN"/>
        </w:rPr>
      </w:pPr>
      <w:r>
        <w:rPr>
          <w:rFonts w:hint="eastAsia" w:eastAsia="宋体"/>
          <w:sz w:val="22"/>
          <w:szCs w:val="22"/>
          <w:lang w:eastAsia="zh-CN"/>
        </w:rPr>
        <w:t>For the UE, a large measurement bandwidth means more power consumption when conducting the RSSI measurement, thus is not desirable at UE side. And</w:t>
      </w:r>
      <w:r>
        <w:rPr>
          <w:rFonts w:eastAsia="宋体"/>
          <w:sz w:val="22"/>
          <w:szCs w:val="22"/>
          <w:lang w:eastAsia="zh-CN"/>
        </w:rPr>
        <w:t xml:space="preserve"> since different UEs may have different measurement capabilities due to implementation and optimization, it’s possible that some UEs, well implemented, can achieve the same measurement requirement using less bandwidth than the signaled bandwidth. However, to make sure that the reported measurement is accurate enough to </w:t>
      </w:r>
      <w:r>
        <w:rPr>
          <w:rFonts w:hint="eastAsia" w:eastAsia="宋体"/>
          <w:sz w:val="22"/>
          <w:szCs w:val="22"/>
          <w:lang w:eastAsia="zh-CN"/>
        </w:rPr>
        <w:t xml:space="preserve">assist the base station </w:t>
      </w:r>
      <w:r>
        <w:rPr>
          <w:rFonts w:eastAsia="宋体"/>
          <w:sz w:val="22"/>
          <w:szCs w:val="22"/>
          <w:lang w:eastAsia="zh-CN"/>
        </w:rPr>
        <w:t>with</w:t>
      </w:r>
      <w:r>
        <w:rPr>
          <w:rFonts w:hint="eastAsia" w:eastAsia="宋体"/>
          <w:sz w:val="22"/>
          <w:szCs w:val="22"/>
          <w:lang w:eastAsia="zh-CN"/>
        </w:rPr>
        <w:t xml:space="preserve"> scheduling</w:t>
      </w:r>
      <w:r>
        <w:rPr>
          <w:rFonts w:eastAsia="宋体"/>
          <w:sz w:val="22"/>
          <w:szCs w:val="22"/>
          <w:lang w:eastAsia="zh-CN"/>
        </w:rPr>
        <w:t xml:space="preserve"> and further decisions, the UE must meet certain measurement requirements when using less bandwidth than the signaled bandwidth.</w:t>
      </w:r>
    </w:p>
    <w:p>
      <w:pPr>
        <w:pStyle w:val="36"/>
        <w:rPr>
          <w:sz w:val="22"/>
          <w:szCs w:val="22"/>
          <w:lang w:eastAsia="zh-CN"/>
        </w:rPr>
      </w:pPr>
      <w:r>
        <w:rPr>
          <w:sz w:val="22"/>
          <w:szCs w:val="22"/>
          <w:lang w:eastAsia="zh-CN"/>
        </w:rPr>
        <w:t>Measurement accuracy requirements need to be defined in RAN4.</w:t>
      </w:r>
    </w:p>
    <w:p>
      <w:pPr>
        <w:rPr>
          <w:rFonts w:hint="eastAsia" w:eastAsiaTheme="minorEastAsia"/>
          <w:sz w:val="22"/>
          <w:szCs w:val="22"/>
          <w:lang w:eastAsia="zh-CN"/>
        </w:rPr>
      </w:pPr>
      <w:r>
        <w:rPr>
          <w:rFonts w:hint="eastAsia" w:eastAsiaTheme="minorEastAsia"/>
          <w:sz w:val="22"/>
          <w:szCs w:val="22"/>
          <w:lang w:eastAsia="zh-CN"/>
        </w:rPr>
        <w:t>S</w:t>
      </w:r>
      <w:r>
        <w:rPr>
          <w:rFonts w:eastAsiaTheme="minorEastAsia"/>
          <w:sz w:val="22"/>
          <w:szCs w:val="22"/>
          <w:lang w:eastAsia="zh-CN"/>
        </w:rPr>
        <w:t xml:space="preserve">ince the UE shall always meet measurement accuracy requirements, it shall be allowed for UE to use less bandwidth than the signaled measurement bandwidth. </w:t>
      </w:r>
    </w:p>
    <w:p>
      <w:pPr>
        <w:pStyle w:val="36"/>
        <w:rPr>
          <w:sz w:val="22"/>
          <w:szCs w:val="22"/>
          <w:lang w:eastAsia="zh-CN"/>
        </w:rPr>
      </w:pPr>
      <w:r>
        <w:rPr>
          <w:rFonts w:eastAsiaTheme="minorEastAsia"/>
          <w:sz w:val="22"/>
          <w:szCs w:val="22"/>
          <w:lang w:eastAsia="zh-CN"/>
        </w:rPr>
        <w:t>The UE can use less measurement bandwidth than the signaled bandwidth</w:t>
      </w:r>
      <w:r>
        <w:rPr>
          <w:rFonts w:hint="eastAsia" w:eastAsiaTheme="minorEastAsia"/>
          <w:sz w:val="22"/>
          <w:szCs w:val="22"/>
          <w:lang w:val="en-US" w:eastAsia="zh-CN"/>
        </w:rPr>
        <w:t xml:space="preserve"> given that the measurement requirements are met.</w:t>
      </w:r>
    </w:p>
    <w:p>
      <w:pPr>
        <w:rPr>
          <w:rFonts w:hint="default" w:cs="v4.2.0"/>
          <w:sz w:val="22"/>
          <w:szCs w:val="22"/>
          <w:lang w:val="en-US"/>
        </w:rPr>
      </w:pPr>
      <w:r>
        <w:rPr>
          <w:rFonts w:hint="eastAsia" w:eastAsiaTheme="minorEastAsia"/>
          <w:sz w:val="22"/>
          <w:szCs w:val="22"/>
          <w:lang w:val="en-US" w:eastAsia="zh-CN"/>
        </w:rPr>
        <w:t>In TS 36.133 [2], t</w:t>
      </w:r>
      <w:r>
        <w:rPr>
          <w:rFonts w:hint="default" w:ascii="Times New Roman" w:hAnsi="Times New Roman" w:eastAsia="Times New Roman" w:cs="v4.2.0"/>
          <w:kern w:val="0"/>
          <w:sz w:val="22"/>
          <w:szCs w:val="22"/>
          <w:lang w:val="en-US" w:eastAsia="zh-CN" w:bidi="ar"/>
        </w:rPr>
        <w:t>he reporting range of RSSI measurement is defined from -100 dBm to -25 dBm with 1 dBm resolution.</w:t>
      </w:r>
      <w:r>
        <w:rPr>
          <w:rFonts w:hint="eastAsia" w:eastAsia="Times New Roman" w:cs="v4.2.0"/>
          <w:kern w:val="0"/>
          <w:sz w:val="22"/>
          <w:szCs w:val="22"/>
          <w:lang w:val="en-US" w:eastAsia="zh-CN" w:bidi="ar"/>
        </w:rPr>
        <w:t xml:space="preserve"> </w:t>
      </w:r>
      <w:r>
        <w:rPr>
          <w:rFonts w:hint="default" w:ascii="Times New Roman" w:hAnsi="Times New Roman" w:eastAsia="Times New Roman" w:cs="v4.2.0"/>
          <w:kern w:val="0"/>
          <w:sz w:val="22"/>
          <w:szCs w:val="22"/>
          <w:lang w:val="en-US" w:eastAsia="zh-CN" w:bidi="ar"/>
        </w:rPr>
        <w:t>The mapping of the measured quantity defined in table 9.1.18.5.1-1</w:t>
      </w:r>
      <w:r>
        <w:rPr>
          <w:rFonts w:hint="eastAsia" w:eastAsia="Times New Roman" w:cs="v4.2.0"/>
          <w:kern w:val="0"/>
          <w:sz w:val="22"/>
          <w:szCs w:val="22"/>
          <w:lang w:val="en-US" w:eastAsia="zh-CN" w:bidi="ar"/>
        </w:rPr>
        <w:t xml:space="preserve"> can be used as a starting point to study RSSI report mapping for NR-U. It should be noted that RAN4 hasn</w:t>
      </w:r>
      <w:r>
        <w:rPr>
          <w:rFonts w:hint="default" w:eastAsia="Times New Roman" w:cs="v4.2.0"/>
          <w:kern w:val="0"/>
          <w:sz w:val="22"/>
          <w:szCs w:val="22"/>
          <w:lang w:val="en-US" w:eastAsia="zh-CN" w:bidi="ar"/>
        </w:rPr>
        <w:t>’</w:t>
      </w:r>
      <w:r>
        <w:rPr>
          <w:rFonts w:hint="eastAsia" w:eastAsia="Times New Roman" w:cs="v4.2.0"/>
          <w:kern w:val="0"/>
          <w:sz w:val="22"/>
          <w:szCs w:val="22"/>
          <w:lang w:val="en-US" w:eastAsia="zh-CN" w:bidi="ar"/>
        </w:rPr>
        <w:t xml:space="preserve">t come to agreement on RSSI measurement bandwidth. The mapping of RSSI measurements for NR-U shall be discussed after RAN4 concludes on the RSSI measurement bandwidth. To be forward compatible for potential future cases where the UE might report </w:t>
      </w:r>
      <w:r>
        <w:rPr>
          <w:rFonts w:hint="default" w:eastAsia="Times New Roman" w:cs="v4.2.0"/>
          <w:kern w:val="0"/>
          <w:sz w:val="22"/>
          <w:szCs w:val="22"/>
          <w:lang w:val="en-US" w:eastAsia="zh-CN" w:bidi="ar"/>
        </w:rPr>
        <w:t>“</w:t>
      </w:r>
      <w:r>
        <w:rPr>
          <w:rFonts w:hint="eastAsia" w:eastAsia="Times New Roman" w:cs="v4.2.0"/>
          <w:kern w:val="0"/>
          <w:sz w:val="22"/>
          <w:szCs w:val="22"/>
          <w:lang w:val="en-US" w:eastAsia="zh-CN" w:bidi="ar"/>
        </w:rPr>
        <w:t>unsuccessful RSSI measurement</w:t>
      </w:r>
      <w:r>
        <w:rPr>
          <w:rFonts w:hint="default" w:eastAsia="Times New Roman" w:cs="v4.2.0"/>
          <w:kern w:val="0"/>
          <w:sz w:val="22"/>
          <w:szCs w:val="22"/>
          <w:lang w:val="en-US" w:eastAsia="zh-CN" w:bidi="ar"/>
        </w:rPr>
        <w:t>”</w:t>
      </w:r>
      <w:r>
        <w:rPr>
          <w:rFonts w:hint="eastAsia" w:eastAsia="Times New Roman" w:cs="v4.2.0"/>
          <w:kern w:val="0"/>
          <w:sz w:val="22"/>
          <w:szCs w:val="22"/>
          <w:lang w:val="en-US" w:eastAsia="zh-CN" w:bidi="ar"/>
        </w:rPr>
        <w:t>, more reported values can be added and reserved.</w:t>
      </w:r>
    </w:p>
    <w:p>
      <w:pPr>
        <w:pStyle w:val="16"/>
        <w:keepNext/>
        <w:keepLines/>
        <w:widowControl/>
        <w:suppressLineNumbers w:val="0"/>
        <w:overflowPunct w:val="0"/>
        <w:autoSpaceDE w:val="0"/>
        <w:autoSpaceDN w:val="0"/>
        <w:adjustRightInd w:val="0"/>
        <w:spacing w:before="60" w:beforeAutospacing="0" w:after="180" w:afterAutospacing="0"/>
        <w:ind w:left="0" w:right="0"/>
        <w:jc w:val="center"/>
        <w:rPr>
          <w:sz w:val="22"/>
          <w:szCs w:val="22"/>
          <w:lang w:val="en-US"/>
        </w:rPr>
      </w:pPr>
      <w:r>
        <w:rPr>
          <w:rFonts w:hint="default" w:ascii="Arial" w:hAnsi="Arial" w:eastAsia="Times New Roman" w:cs="Times New Roman"/>
          <w:b/>
          <w:bCs w:val="0"/>
          <w:kern w:val="0"/>
          <w:sz w:val="22"/>
          <w:szCs w:val="22"/>
          <w:lang w:val="en-US" w:eastAsia="zh-CN" w:bidi="ar"/>
        </w:rPr>
        <w:t>Table 9.1.18.5.1-1: RSSI measurement report mapping</w:t>
      </w:r>
    </w:p>
    <w:tbl>
      <w:tblPr>
        <w:tblStyle w:val="21"/>
        <w:tblW w:w="794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118"/>
        <w:gridCol w:w="340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sz w:val="22"/>
                <w:szCs w:val="22"/>
                <w:lang w:val="en-US"/>
              </w:rPr>
            </w:pPr>
            <w:r>
              <w:rPr>
                <w:rFonts w:cs="v4.2.0"/>
                <w:sz w:val="22"/>
                <w:szCs w:val="22"/>
                <w:lang w:val="en-US"/>
              </w:rPr>
              <w:t>Reported value</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sz w:val="22"/>
                <w:szCs w:val="22"/>
                <w:lang w:val="en-US"/>
              </w:rPr>
            </w:pPr>
            <w:r>
              <w:rPr>
                <w:rFonts w:cs="v4.2.0"/>
                <w:sz w:val="22"/>
                <w:szCs w:val="22"/>
                <w:lang w:val="en-US"/>
              </w:rPr>
              <w:t>Measured quantity value</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6"/>
              <w:widowControl/>
              <w:rPr>
                <w:rFonts w:cs="v4.2.0"/>
                <w:sz w:val="22"/>
                <w:szCs w:val="22"/>
                <w:lang w:val="en-US"/>
              </w:rPr>
            </w:pPr>
            <w:r>
              <w:rPr>
                <w:rFonts w:cs="v4.2.0"/>
                <w:sz w:val="22"/>
                <w:szCs w:val="22"/>
                <w:lang w:val="en-US"/>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RSSI_00</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RSSI &lt; </w:t>
            </w:r>
            <w:r>
              <w:rPr>
                <w:rFonts w:hint="default" w:cs="Arial"/>
                <w:sz w:val="22"/>
                <w:szCs w:val="22"/>
                <w:lang w:val="en-US"/>
              </w:rPr>
              <w:noBreakHyphen/>
            </w:r>
            <w:r>
              <w:rPr>
                <w:rFonts w:hint="default" w:cs="Arial"/>
                <w:sz w:val="22"/>
                <w:szCs w:val="22"/>
                <w:lang w:val="en-US"/>
              </w:rPr>
              <w:t xml:space="preserve">100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RSSI_01</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-100 </w:t>
            </w:r>
            <w:r>
              <w:rPr>
                <w:rFonts w:hint="default" w:ascii="Arial" w:hAnsi="Arial" w:cs="Arial"/>
                <w:sz w:val="22"/>
                <w:szCs w:val="22"/>
                <w:lang w:val="en-US"/>
              </w:rPr>
              <w:sym w:font="Symbol" w:char="00A3"/>
            </w:r>
            <w:r>
              <w:rPr>
                <w:rFonts w:hint="default" w:cs="Arial"/>
                <w:sz w:val="22"/>
                <w:szCs w:val="22"/>
                <w:lang w:val="en-US"/>
              </w:rPr>
              <w:t xml:space="preserve"> RSSI &lt; </w:t>
            </w:r>
            <w:r>
              <w:rPr>
                <w:rFonts w:hint="default" w:cs="Arial"/>
                <w:sz w:val="22"/>
                <w:szCs w:val="22"/>
                <w:lang w:val="en-US"/>
              </w:rPr>
              <w:noBreakHyphen/>
            </w:r>
            <w:r>
              <w:rPr>
                <w:rFonts w:hint="default" w:cs="Arial"/>
                <w:sz w:val="22"/>
                <w:szCs w:val="22"/>
                <w:lang w:val="en-US"/>
              </w:rPr>
              <w:t>99</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RSSI_02</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-99 </w:t>
            </w:r>
            <w:r>
              <w:rPr>
                <w:rFonts w:hint="default" w:ascii="Arial" w:hAnsi="Arial" w:cs="Arial"/>
                <w:sz w:val="22"/>
                <w:szCs w:val="22"/>
                <w:lang w:val="en-US"/>
              </w:rPr>
              <w:sym w:font="Symbol" w:char="00A3"/>
            </w:r>
            <w:r>
              <w:rPr>
                <w:rFonts w:hint="default" w:cs="Arial"/>
                <w:sz w:val="22"/>
                <w:szCs w:val="22"/>
                <w:lang w:val="en-US"/>
              </w:rPr>
              <w:t xml:space="preserve"> RSSI &lt; </w:t>
            </w:r>
            <w:r>
              <w:rPr>
                <w:rFonts w:hint="default" w:cs="Arial"/>
                <w:sz w:val="22"/>
                <w:szCs w:val="22"/>
                <w:lang w:val="en-US"/>
              </w:rPr>
              <w:noBreakHyphen/>
            </w:r>
            <w:r>
              <w:rPr>
                <w:rFonts w:hint="default" w:cs="Arial"/>
                <w:sz w:val="22"/>
                <w:szCs w:val="22"/>
                <w:lang w:val="en-US"/>
              </w:rPr>
              <w:t>98</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RSSI_74</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-27 </w:t>
            </w:r>
            <w:r>
              <w:rPr>
                <w:rFonts w:hint="default" w:ascii="Arial" w:hAnsi="Arial" w:cs="Arial"/>
                <w:sz w:val="22"/>
                <w:szCs w:val="22"/>
                <w:lang w:val="en-US"/>
              </w:rPr>
              <w:sym w:font="Symbol" w:char="00A3"/>
            </w:r>
            <w:r>
              <w:rPr>
                <w:rFonts w:hint="default" w:cs="Arial"/>
                <w:sz w:val="22"/>
                <w:szCs w:val="22"/>
                <w:lang w:val="en-US"/>
              </w:rPr>
              <w:t xml:space="preserve"> RSSI &lt; -26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RSSI_75</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-26 </w:t>
            </w:r>
            <w:r>
              <w:rPr>
                <w:rFonts w:hint="default" w:ascii="Arial" w:hAnsi="Arial" w:cs="Arial"/>
                <w:sz w:val="22"/>
                <w:szCs w:val="22"/>
                <w:lang w:val="en-US"/>
              </w:rPr>
              <w:sym w:font="Symbol" w:char="00A3"/>
            </w:r>
            <w:r>
              <w:rPr>
                <w:rFonts w:hint="default" w:cs="Arial"/>
                <w:sz w:val="22"/>
                <w:szCs w:val="22"/>
                <w:lang w:val="en-US"/>
              </w:rPr>
              <w:t xml:space="preserve"> RSSI &lt; -25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sv"/>
              </w:rPr>
            </w:pPr>
            <w:r>
              <w:rPr>
                <w:rFonts w:hint="default" w:cs="Arial"/>
                <w:sz w:val="22"/>
                <w:szCs w:val="22"/>
                <w:lang w:val="sv"/>
              </w:rPr>
              <w:t>RSSI_76</w:t>
            </w:r>
          </w:p>
        </w:tc>
        <w:tc>
          <w:tcPr>
            <w:tcW w:w="3404"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 xml:space="preserve">-25 </w:t>
            </w:r>
            <w:r>
              <w:rPr>
                <w:rFonts w:hint="default" w:ascii="Arial" w:hAnsi="Arial" w:cs="Arial"/>
                <w:sz w:val="22"/>
                <w:szCs w:val="22"/>
                <w:lang w:val="en-US"/>
              </w:rPr>
              <w:sym w:font="Symbol" w:char="00A3"/>
            </w:r>
            <w:r>
              <w:rPr>
                <w:rFonts w:hint="default" w:cs="Arial"/>
                <w:sz w:val="22"/>
                <w:szCs w:val="22"/>
                <w:lang w:val="en-US"/>
              </w:rPr>
              <w:t xml:space="preserve"> RSSI</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pPr>
              <w:pStyle w:val="65"/>
              <w:widowControl/>
              <w:rPr>
                <w:rFonts w:hint="default" w:cs="Arial"/>
                <w:sz w:val="22"/>
                <w:szCs w:val="22"/>
                <w:lang w:val="en-US"/>
              </w:rPr>
            </w:pPr>
            <w:r>
              <w:rPr>
                <w:rFonts w:hint="default" w:cs="Arial"/>
                <w:sz w:val="22"/>
                <w:szCs w:val="22"/>
                <w:lang w:val="en-US"/>
              </w:rPr>
              <w:t>dBm</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sz w:val="22"/>
          <w:szCs w:val="22"/>
          <w:lang w:val="en-US" w:eastAsia="zh-CN"/>
        </w:rPr>
      </w:pPr>
    </w:p>
    <w:p>
      <w:pPr>
        <w:pStyle w:val="36"/>
        <w:rPr>
          <w:rFonts w:hint="default" w:eastAsiaTheme="minorEastAsia"/>
          <w:sz w:val="22"/>
          <w:szCs w:val="22"/>
          <w:lang w:val="en-US" w:eastAsia="zh-CN"/>
        </w:rPr>
      </w:pPr>
      <w:r>
        <w:rPr>
          <w:rFonts w:eastAsiaTheme="minorEastAsia"/>
          <w:sz w:val="22"/>
          <w:szCs w:val="22"/>
          <w:lang w:eastAsia="zh-CN"/>
        </w:rPr>
        <w:t xml:space="preserve">The </w:t>
      </w:r>
      <w:r>
        <w:rPr>
          <w:rFonts w:hint="eastAsia" w:eastAsiaTheme="minorEastAsia"/>
          <w:sz w:val="22"/>
          <w:szCs w:val="22"/>
          <w:lang w:val="en-US" w:eastAsia="zh-CN"/>
        </w:rPr>
        <w:t xml:space="preserve">RSSI measurement report mapping defined in Table </w:t>
      </w:r>
      <w:r>
        <w:rPr>
          <w:rFonts w:hint="default" w:eastAsiaTheme="minorEastAsia"/>
          <w:sz w:val="22"/>
          <w:szCs w:val="22"/>
          <w:lang w:val="en-US" w:eastAsia="zh-CN"/>
        </w:rPr>
        <w:t>9.1.18.5.1-1</w:t>
      </w:r>
      <w:r>
        <w:rPr>
          <w:rFonts w:hint="eastAsia" w:eastAsiaTheme="minorEastAsia"/>
          <w:sz w:val="22"/>
          <w:szCs w:val="22"/>
          <w:lang w:val="en-US" w:eastAsia="zh-CN"/>
        </w:rPr>
        <w:t xml:space="preserve"> in 36.133 can be used as a starting point for RSSI measurement report mapping for NR-U. The mapping shall be revisited after RAN4 finalizes on the measurement bandwidth. </w:t>
      </w:r>
      <w:r>
        <w:rPr>
          <w:rFonts w:hint="eastAsia" w:eastAsia="Times New Roman" w:cs="v4.2.0"/>
          <w:kern w:val="0"/>
          <w:sz w:val="22"/>
          <w:szCs w:val="22"/>
          <w:lang w:val="en-US" w:eastAsia="zh-CN" w:bidi="ar"/>
        </w:rPr>
        <w:t>For forward compatibility, more reported values can be added and reserved.</w:t>
      </w:r>
    </w:p>
    <w:p>
      <w:pPr>
        <w:rPr>
          <w:rFonts w:hint="eastAsia" w:eastAsia="Times New Roman" w:cs="v4.2.0"/>
          <w:kern w:val="0"/>
          <w:sz w:val="22"/>
          <w:szCs w:val="22"/>
          <w:lang w:val="en-US" w:eastAsia="zh-CN" w:bidi="ar"/>
        </w:rPr>
      </w:pPr>
      <w:r>
        <w:rPr>
          <w:rFonts w:hint="eastAsia" w:eastAsia="Times New Roman" w:cs="v4.2.0"/>
          <w:kern w:val="0"/>
          <w:sz w:val="22"/>
          <w:szCs w:val="22"/>
          <w:lang w:val="en-US" w:eastAsia="zh-CN" w:bidi="ar"/>
        </w:rPr>
        <w:t>As for the report mapping of channel occupancy (CO), there is already conclusion in RAN2:</w:t>
      </w:r>
    </w:p>
    <w:p>
      <w:pPr>
        <w:pStyle w:val="64"/>
        <w:shd w:val="clear" w:color="auto" w:fill="E6E6E6"/>
        <w:rPr>
          <w:sz w:val="22"/>
          <w:szCs w:val="22"/>
        </w:rPr>
      </w:pPr>
      <w:r>
        <w:rPr>
          <w:sz w:val="22"/>
          <w:szCs w:val="22"/>
        </w:rPr>
        <w:t>MeasResultForRSSI-r16 ::=           SEQUENCE {</w:t>
      </w:r>
    </w:p>
    <w:p>
      <w:pPr>
        <w:pStyle w:val="64"/>
        <w:shd w:val="clear" w:color="auto" w:fill="E6E6E6"/>
        <w:rPr>
          <w:sz w:val="22"/>
          <w:szCs w:val="22"/>
        </w:rPr>
      </w:pPr>
      <w:r>
        <w:rPr>
          <w:sz w:val="22"/>
          <w:szCs w:val="22"/>
        </w:rPr>
        <w:t xml:space="preserve">    rssi-Result-r16                   FFSvalue,</w:t>
      </w:r>
    </w:p>
    <w:p>
      <w:pPr>
        <w:pStyle w:val="64"/>
        <w:shd w:val="clear" w:color="auto" w:fill="E6E6E6"/>
        <w:rPr>
          <w:sz w:val="22"/>
          <w:szCs w:val="22"/>
        </w:rPr>
      </w:pPr>
      <w:r>
        <w:rPr>
          <w:sz w:val="22"/>
          <w:szCs w:val="22"/>
        </w:rPr>
        <w:t xml:space="preserve">    channelOccupancy-r16              INTEGER (0..100)</w:t>
      </w:r>
    </w:p>
    <w:p>
      <w:pPr>
        <w:pStyle w:val="64"/>
        <w:shd w:val="clear" w:color="auto" w:fill="E6E6E6"/>
        <w:rPr>
          <w:sz w:val="22"/>
          <w:szCs w:val="22"/>
        </w:rPr>
      </w:pPr>
      <w:r>
        <w:rPr>
          <w:sz w:val="22"/>
          <w:szCs w:val="22"/>
        </w:rPr>
        <w:t>}</w:t>
      </w:r>
    </w:p>
    <w:p>
      <w:pPr>
        <w:rPr>
          <w:rFonts w:hint="eastAsia" w:eastAsia="Times New Roman" w:cs="v4.2.0"/>
          <w:kern w:val="0"/>
          <w:sz w:val="22"/>
          <w:szCs w:val="22"/>
          <w:lang w:val="en-US" w:eastAsia="zh-CN" w:bidi="ar"/>
        </w:rPr>
      </w:pPr>
      <w:r>
        <w:rPr>
          <w:rFonts w:hint="eastAsia" w:eastAsia="Times New Roman" w:cs="v4.2.0"/>
          <w:kern w:val="0"/>
          <w:sz w:val="22"/>
          <w:szCs w:val="22"/>
          <w:lang w:val="en-US" w:eastAsia="zh-CN" w:bidi="ar"/>
        </w:rPr>
        <w:t xml:space="preserve">The </w:t>
      </w:r>
      <w:r>
        <w:rPr>
          <w:sz w:val="22"/>
          <w:szCs w:val="22"/>
        </w:rPr>
        <w:t>channelOccupancy-r16</w:t>
      </w:r>
      <w:r>
        <w:rPr>
          <w:rFonts w:hint="eastAsia" w:eastAsia="宋体"/>
          <w:sz w:val="22"/>
          <w:szCs w:val="22"/>
          <w:lang w:val="en-US" w:eastAsia="zh-CN"/>
        </w:rPr>
        <w:t xml:space="preserve"> can be from 0 to 100, representing the percentage of channel occupancy. Thus, there</w:t>
      </w:r>
      <w:r>
        <w:rPr>
          <w:rFonts w:hint="default" w:eastAsia="宋体"/>
          <w:sz w:val="22"/>
          <w:szCs w:val="22"/>
          <w:lang w:val="en-US" w:eastAsia="zh-CN"/>
        </w:rPr>
        <w:t>’</w:t>
      </w:r>
      <w:r>
        <w:rPr>
          <w:rFonts w:hint="eastAsia" w:eastAsia="宋体"/>
          <w:sz w:val="22"/>
          <w:szCs w:val="22"/>
          <w:lang w:val="en-US" w:eastAsia="zh-CN"/>
        </w:rPr>
        <w:t>s no need for RAN4 to continue discussing it.</w:t>
      </w:r>
    </w:p>
    <w:p>
      <w:pPr>
        <w:pStyle w:val="40"/>
        <w:rPr>
          <w:rFonts w:hint="default" w:eastAsia="Times New Roman" w:cs="v4.2.0"/>
          <w:kern w:val="0"/>
          <w:sz w:val="22"/>
          <w:szCs w:val="22"/>
          <w:lang w:val="en-US" w:eastAsia="zh-CN" w:bidi="ar"/>
        </w:rPr>
      </w:pPr>
      <w:r>
        <w:rPr>
          <w:rFonts w:hint="eastAsia" w:eastAsia="宋体"/>
          <w:sz w:val="22"/>
          <w:szCs w:val="22"/>
          <w:lang w:val="en-US" w:eastAsia="zh-CN"/>
        </w:rPr>
        <w:t>The report mapping of CO is already defined in RAN2.</w:t>
      </w:r>
    </w:p>
    <w:p>
      <w:pPr>
        <w:pStyle w:val="28"/>
        <w:jc w:val="both"/>
      </w:pPr>
      <w:r>
        <w:rPr>
          <w:rFonts w:hint="eastAsia"/>
          <w:lang w:val="en-US" w:eastAsia="zh-CN"/>
        </w:rPr>
        <w:t>3</w:t>
      </w:r>
      <w:r>
        <w:tab/>
      </w:r>
      <w:r>
        <w:t>Conclusion</w:t>
      </w:r>
    </w:p>
    <w:p>
      <w:pPr>
        <w:pStyle w:val="30"/>
        <w:numPr>
          <w:ilvl w:val="0"/>
          <w:numId w:val="8"/>
        </w:numPr>
        <w:spacing w:line="260" w:lineRule="auto"/>
        <w:ind w:left="0" w:firstLine="0"/>
        <w:rPr>
          <w:sz w:val="22"/>
          <w:szCs w:val="22"/>
        </w:rPr>
      </w:pPr>
      <w:r>
        <w:rPr>
          <w:rFonts w:hint="eastAsia" w:eastAsia="宋体"/>
          <w:sz w:val="22"/>
          <w:szCs w:val="22"/>
          <w:lang w:val="en-US" w:eastAsia="zh-CN"/>
        </w:rPr>
        <w:t>It</w:t>
      </w:r>
      <w:r>
        <w:rPr>
          <w:rFonts w:eastAsia="宋体"/>
          <w:sz w:val="22"/>
          <w:szCs w:val="22"/>
          <w:lang w:val="en-US" w:eastAsia="zh-CN"/>
        </w:rPr>
        <w:t>’</w:t>
      </w:r>
      <w:r>
        <w:rPr>
          <w:rFonts w:hint="eastAsia" w:eastAsia="宋体"/>
          <w:sz w:val="22"/>
          <w:szCs w:val="22"/>
          <w:lang w:val="en-US" w:eastAsia="zh-CN"/>
        </w:rPr>
        <w:t xml:space="preserve">s up to </w:t>
      </w:r>
      <w:r>
        <w:rPr>
          <w:sz w:val="22"/>
          <w:szCs w:val="22"/>
          <w:lang w:val="en-US"/>
        </w:rPr>
        <w:t xml:space="preserve">RAN4 </w:t>
      </w:r>
      <w:r>
        <w:rPr>
          <w:rFonts w:hint="eastAsia" w:eastAsia="宋体"/>
          <w:sz w:val="22"/>
          <w:szCs w:val="22"/>
          <w:lang w:val="en-US" w:eastAsia="zh-CN"/>
        </w:rPr>
        <w:t>to</w:t>
      </w:r>
      <w:r>
        <w:rPr>
          <w:sz w:val="22"/>
          <w:szCs w:val="22"/>
          <w:lang w:val="en-US"/>
        </w:rPr>
        <w:t xml:space="preserve"> determine if the bandwidth used for the measurement within an LBT bandwidth can be less than the signaled measurement bandwidth</w:t>
      </w:r>
      <w:r>
        <w:rPr>
          <w:rFonts w:hint="eastAsia" w:eastAsia="宋体"/>
          <w:sz w:val="22"/>
          <w:szCs w:val="22"/>
          <w:lang w:val="en-US" w:eastAsia="zh-CN"/>
        </w:rPr>
        <w:t>.</w:t>
      </w:r>
    </w:p>
    <w:p>
      <w:pPr>
        <w:pStyle w:val="36"/>
        <w:numPr>
          <w:ilvl w:val="0"/>
          <w:numId w:val="0"/>
        </w:numPr>
        <w:rPr>
          <w:sz w:val="22"/>
          <w:szCs w:val="22"/>
        </w:rPr>
      </w:pPr>
      <w:r>
        <w:rPr>
          <w:rFonts w:hint="eastAsia"/>
          <w:sz w:val="22"/>
          <w:szCs w:val="22"/>
          <w:lang w:eastAsia="zh-CN"/>
        </w:rPr>
        <w:t xml:space="preserve">Proposal 1: </w:t>
      </w:r>
      <w:r>
        <w:rPr>
          <w:sz w:val="22"/>
          <w:szCs w:val="22"/>
          <w:lang w:eastAsia="zh-CN"/>
        </w:rPr>
        <w:t>Measurement accuracy requirements need to be defined in RAN4.</w:t>
      </w:r>
    </w:p>
    <w:p>
      <w:pPr>
        <w:pStyle w:val="36"/>
        <w:numPr>
          <w:ilvl w:val="0"/>
          <w:numId w:val="0"/>
        </w:numPr>
        <w:rPr>
          <w:sz w:val="22"/>
          <w:szCs w:val="22"/>
          <w:lang w:eastAsia="zh-CN"/>
        </w:rPr>
      </w:pPr>
      <w:r>
        <w:rPr>
          <w:rFonts w:hint="eastAsia"/>
          <w:sz w:val="22"/>
          <w:szCs w:val="22"/>
          <w:lang w:eastAsia="zh-CN"/>
        </w:rPr>
        <w:t xml:space="preserve">Proposal 2: </w:t>
      </w:r>
      <w:r>
        <w:rPr>
          <w:rFonts w:eastAsiaTheme="minorEastAsia"/>
          <w:sz w:val="22"/>
          <w:szCs w:val="22"/>
          <w:lang w:eastAsia="zh-CN"/>
        </w:rPr>
        <w:t>The UE can use less measurement bandwidth than the signaled bandwidth</w:t>
      </w:r>
      <w:r>
        <w:rPr>
          <w:rFonts w:hint="eastAsia" w:eastAsiaTheme="minorEastAsia"/>
          <w:sz w:val="22"/>
          <w:szCs w:val="22"/>
          <w:lang w:val="en-US" w:eastAsia="zh-CN"/>
        </w:rPr>
        <w:t xml:space="preserve"> given that the measurement requirements are met.</w:t>
      </w:r>
    </w:p>
    <w:p>
      <w:pPr>
        <w:pStyle w:val="36"/>
        <w:numPr>
          <w:ilvl w:val="0"/>
          <w:numId w:val="0"/>
        </w:numPr>
        <w:rPr>
          <w:rFonts w:hint="eastAsia" w:eastAsia="Times New Roman" w:cs="v4.2.0"/>
          <w:kern w:val="0"/>
          <w:sz w:val="22"/>
          <w:szCs w:val="22"/>
          <w:lang w:val="en-US" w:eastAsia="zh-CN" w:bidi="ar"/>
        </w:rPr>
      </w:pPr>
      <w:r>
        <w:rPr>
          <w:rFonts w:hint="eastAsia"/>
          <w:sz w:val="22"/>
          <w:szCs w:val="22"/>
          <w:lang w:eastAsia="zh-CN"/>
        </w:rPr>
        <w:t xml:space="preserve">Proposal 3: </w:t>
      </w:r>
      <w:r>
        <w:rPr>
          <w:rFonts w:eastAsiaTheme="minorEastAsia"/>
          <w:sz w:val="22"/>
          <w:szCs w:val="22"/>
          <w:lang w:eastAsia="zh-CN"/>
        </w:rPr>
        <w:t xml:space="preserve">The </w:t>
      </w:r>
      <w:r>
        <w:rPr>
          <w:rFonts w:hint="eastAsia" w:eastAsiaTheme="minorEastAsia"/>
          <w:sz w:val="22"/>
          <w:szCs w:val="22"/>
          <w:lang w:val="en-US" w:eastAsia="zh-CN"/>
        </w:rPr>
        <w:t xml:space="preserve">RSSI measurement report mapping defined in Table </w:t>
      </w:r>
      <w:r>
        <w:rPr>
          <w:rFonts w:hint="default" w:eastAsiaTheme="minorEastAsia"/>
          <w:sz w:val="22"/>
          <w:szCs w:val="22"/>
          <w:lang w:val="en-US" w:eastAsia="zh-CN"/>
        </w:rPr>
        <w:t>9.1.18.5.1-1</w:t>
      </w:r>
      <w:r>
        <w:rPr>
          <w:rFonts w:hint="eastAsia" w:eastAsiaTheme="minorEastAsia"/>
          <w:sz w:val="22"/>
          <w:szCs w:val="22"/>
          <w:lang w:val="en-US" w:eastAsia="zh-CN"/>
        </w:rPr>
        <w:t xml:space="preserve"> in 36.133 can be used as a starting point for RSSI measurement report mapping for NR-U. The mapping shall be revisited after RAN4 finalizes on the measurement bandwidth. </w:t>
      </w:r>
      <w:r>
        <w:rPr>
          <w:rFonts w:hint="eastAsia" w:eastAsia="Times New Roman" w:cs="v4.2.0"/>
          <w:kern w:val="0"/>
          <w:sz w:val="22"/>
          <w:szCs w:val="22"/>
          <w:lang w:val="en-US" w:eastAsia="zh-CN" w:bidi="ar"/>
        </w:rPr>
        <w:t>For forward compatibility, more reported values can be added and reserved</w:t>
      </w:r>
      <w:r>
        <w:rPr>
          <w:rFonts w:hint="eastAsia" w:eastAsia="宋体"/>
          <w:sz w:val="22"/>
          <w:szCs w:val="22"/>
          <w:lang w:eastAsia="zh-CN"/>
        </w:rPr>
        <w:t>.</w:t>
      </w:r>
    </w:p>
    <w:p>
      <w:pPr>
        <w:rPr>
          <w:sz w:val="22"/>
          <w:szCs w:val="22"/>
          <w:lang w:eastAsia="zh-CN"/>
        </w:rPr>
      </w:pPr>
      <w:r>
        <w:rPr>
          <w:rFonts w:hint="eastAsia"/>
          <w:b/>
          <w:bCs/>
          <w:sz w:val="22"/>
          <w:szCs w:val="22"/>
          <w:lang w:val="en-US" w:eastAsia="zh-CN"/>
        </w:rPr>
        <w:t>Observation</w:t>
      </w:r>
      <w:r>
        <w:rPr>
          <w:rFonts w:hint="eastAsia"/>
          <w:b/>
          <w:bCs/>
          <w:sz w:val="22"/>
          <w:szCs w:val="22"/>
          <w:lang w:eastAsia="zh-CN"/>
        </w:rPr>
        <w:t xml:space="preserve"> </w:t>
      </w:r>
      <w:r>
        <w:rPr>
          <w:rFonts w:hint="eastAsia"/>
          <w:b/>
          <w:bCs/>
          <w:sz w:val="22"/>
          <w:szCs w:val="22"/>
          <w:lang w:val="en-US" w:eastAsia="zh-CN"/>
        </w:rPr>
        <w:t>2</w:t>
      </w:r>
      <w:r>
        <w:rPr>
          <w:rFonts w:hint="eastAsia"/>
          <w:b/>
          <w:bCs/>
          <w:sz w:val="22"/>
          <w:szCs w:val="22"/>
          <w:lang w:eastAsia="zh-CN"/>
        </w:rPr>
        <w:t>:</w:t>
      </w:r>
      <w:r>
        <w:rPr>
          <w:rFonts w:hint="eastAsia"/>
          <w:b/>
          <w:bCs/>
          <w:sz w:val="22"/>
          <w:szCs w:val="22"/>
          <w:lang w:val="en-US" w:eastAsia="zh-CN"/>
        </w:rPr>
        <w:t xml:space="preserve"> </w:t>
      </w:r>
      <w:r>
        <w:rPr>
          <w:rFonts w:hint="eastAsia" w:eastAsia="宋体"/>
          <w:sz w:val="22"/>
          <w:szCs w:val="22"/>
          <w:lang w:val="en-US" w:eastAsia="zh-CN"/>
        </w:rPr>
        <w:t>The report mapping of CO is already defined in RAN2.</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RAN1 Chairman’s Notes</w:t>
      </w:r>
      <w:r>
        <w:rPr>
          <w:rFonts w:hint="eastAsia" w:eastAsia="宋体"/>
          <w:lang w:val="en-US" w:eastAsia="zh-CN"/>
        </w:rPr>
        <w:t>, 3GPP RAN1 98</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36.</w:t>
      </w:r>
      <w:r>
        <w:rPr>
          <w:rFonts w:hint="eastAsia" w:eastAsia="宋体"/>
          <w:lang w:val="en-US" w:eastAsia="zh-CN"/>
        </w:rPr>
        <w:t>133</w:t>
      </w:r>
      <w:r>
        <w:t xml:space="preserve"> E-UTRA; </w:t>
      </w:r>
      <w:r>
        <w:rPr>
          <w:rFonts w:cs="v4.2.0"/>
        </w:rPr>
        <w:t>Requirements for support of radio resource management</w:t>
      </w:r>
      <w:r>
        <w:rPr>
          <w:rFonts w:hint="eastAsia" w:eastAsia="宋体" w:cs="v4.2.0"/>
          <w:lang w:val="en-US" w:eastAsia="zh-CN"/>
        </w:rPr>
        <w:t>.</w:t>
      </w:r>
    </w:p>
    <w:p>
      <w:pPr>
        <w:numPr>
          <w:ilvl w:val="0"/>
          <w:numId w:val="9"/>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EDC414D"/>
    <w:multiLevelType w:val="multilevel"/>
    <w:tmpl w:val="0EDC414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9657C73"/>
    <w:multiLevelType w:val="multilevel"/>
    <w:tmpl w:val="49657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5"/>
  </w:num>
  <w:num w:numId="3">
    <w:abstractNumId w:val="4"/>
  </w:num>
  <w:num w:numId="4">
    <w:abstractNumId w:val="7"/>
  </w:num>
  <w:num w:numId="5">
    <w:abstractNumId w:val="6"/>
  </w:num>
  <w:num w:numId="6">
    <w:abstractNumId w:val="3"/>
  </w:num>
  <w:num w:numId="7">
    <w:abstractNumId w:val="1"/>
  </w:num>
  <w:num w:numId="8">
    <w:abstractNumId w:val="2"/>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C77D0A"/>
    <w:rsid w:val="04D5204C"/>
    <w:rsid w:val="04EB3676"/>
    <w:rsid w:val="059B61E4"/>
    <w:rsid w:val="05A86143"/>
    <w:rsid w:val="06105DAC"/>
    <w:rsid w:val="069766CC"/>
    <w:rsid w:val="07502CA2"/>
    <w:rsid w:val="078B76F8"/>
    <w:rsid w:val="079D410C"/>
    <w:rsid w:val="08641205"/>
    <w:rsid w:val="08935729"/>
    <w:rsid w:val="08C654D4"/>
    <w:rsid w:val="08CC5D10"/>
    <w:rsid w:val="09484892"/>
    <w:rsid w:val="099F556C"/>
    <w:rsid w:val="0A5763D4"/>
    <w:rsid w:val="0A7BF868"/>
    <w:rsid w:val="0B7322DC"/>
    <w:rsid w:val="0BB77882"/>
    <w:rsid w:val="0C56263C"/>
    <w:rsid w:val="0C5E2B8A"/>
    <w:rsid w:val="0DF104D3"/>
    <w:rsid w:val="0ED138E6"/>
    <w:rsid w:val="0F67780F"/>
    <w:rsid w:val="0FB648CB"/>
    <w:rsid w:val="0FD0731A"/>
    <w:rsid w:val="0FF1533A"/>
    <w:rsid w:val="0FFE0AFA"/>
    <w:rsid w:val="10AA3C13"/>
    <w:rsid w:val="10CD0B75"/>
    <w:rsid w:val="110C4B64"/>
    <w:rsid w:val="110C4D24"/>
    <w:rsid w:val="128409CA"/>
    <w:rsid w:val="12BB3A94"/>
    <w:rsid w:val="12EF585C"/>
    <w:rsid w:val="13262572"/>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D3414F"/>
    <w:rsid w:val="18D91924"/>
    <w:rsid w:val="1A0B3A21"/>
    <w:rsid w:val="1A9E1F80"/>
    <w:rsid w:val="1B3329B5"/>
    <w:rsid w:val="1B7F155B"/>
    <w:rsid w:val="1D1F1294"/>
    <w:rsid w:val="1E8806BC"/>
    <w:rsid w:val="1EA137E3"/>
    <w:rsid w:val="1F0936F5"/>
    <w:rsid w:val="1F17474D"/>
    <w:rsid w:val="1F711839"/>
    <w:rsid w:val="200D067C"/>
    <w:rsid w:val="20811B82"/>
    <w:rsid w:val="20A662B2"/>
    <w:rsid w:val="211451D0"/>
    <w:rsid w:val="2151075A"/>
    <w:rsid w:val="219E74A3"/>
    <w:rsid w:val="21A36D27"/>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80C272A"/>
    <w:rsid w:val="284E33F7"/>
    <w:rsid w:val="287A3770"/>
    <w:rsid w:val="28874F6E"/>
    <w:rsid w:val="293606FA"/>
    <w:rsid w:val="29517179"/>
    <w:rsid w:val="29E7086A"/>
    <w:rsid w:val="2A1219AD"/>
    <w:rsid w:val="2A39432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8C574B"/>
    <w:rsid w:val="36C52BB2"/>
    <w:rsid w:val="36D83CAB"/>
    <w:rsid w:val="373B0ED4"/>
    <w:rsid w:val="37705F34"/>
    <w:rsid w:val="377700B0"/>
    <w:rsid w:val="37AF7036"/>
    <w:rsid w:val="380927B5"/>
    <w:rsid w:val="3876150B"/>
    <w:rsid w:val="392739EA"/>
    <w:rsid w:val="3946679B"/>
    <w:rsid w:val="399A43EA"/>
    <w:rsid w:val="3A0F1960"/>
    <w:rsid w:val="3A166029"/>
    <w:rsid w:val="3AF216E5"/>
    <w:rsid w:val="3B0D6FED"/>
    <w:rsid w:val="3B30671A"/>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896512"/>
    <w:rsid w:val="4996414B"/>
    <w:rsid w:val="49BA3D71"/>
    <w:rsid w:val="4AF26B9D"/>
    <w:rsid w:val="4BB65435"/>
    <w:rsid w:val="4BCE1489"/>
    <w:rsid w:val="4C331CC6"/>
    <w:rsid w:val="4C723787"/>
    <w:rsid w:val="4CF05EAC"/>
    <w:rsid w:val="4CF31DBE"/>
    <w:rsid w:val="4D102CB4"/>
    <w:rsid w:val="4D9E609E"/>
    <w:rsid w:val="4E0243C8"/>
    <w:rsid w:val="4EB053BD"/>
    <w:rsid w:val="4FDC68F3"/>
    <w:rsid w:val="50005DA1"/>
    <w:rsid w:val="505A1CB0"/>
    <w:rsid w:val="509778C7"/>
    <w:rsid w:val="50C34780"/>
    <w:rsid w:val="51773E2A"/>
    <w:rsid w:val="51C53170"/>
    <w:rsid w:val="5280421D"/>
    <w:rsid w:val="52BF27F0"/>
    <w:rsid w:val="535E62F0"/>
    <w:rsid w:val="5361709F"/>
    <w:rsid w:val="53705401"/>
    <w:rsid w:val="53752E8D"/>
    <w:rsid w:val="540D782C"/>
    <w:rsid w:val="55362923"/>
    <w:rsid w:val="5553143F"/>
    <w:rsid w:val="55B42DC5"/>
    <w:rsid w:val="586B2608"/>
    <w:rsid w:val="592D7AE2"/>
    <w:rsid w:val="593554F0"/>
    <w:rsid w:val="59840ED4"/>
    <w:rsid w:val="5A3078C5"/>
    <w:rsid w:val="5ADF3A74"/>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D3205F0"/>
    <w:rsid w:val="6DB702B4"/>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235732"/>
    <w:rsid w:val="754C1AAF"/>
    <w:rsid w:val="75973C7F"/>
    <w:rsid w:val="76D8737F"/>
    <w:rsid w:val="76E279D7"/>
    <w:rsid w:val="772E0626"/>
    <w:rsid w:val="7754709D"/>
    <w:rsid w:val="776E285A"/>
    <w:rsid w:val="77B02D8D"/>
    <w:rsid w:val="77C0093D"/>
    <w:rsid w:val="77C90B9C"/>
    <w:rsid w:val="784258BF"/>
    <w:rsid w:val="793758F2"/>
    <w:rsid w:val="7A6209BD"/>
    <w:rsid w:val="7A787ECB"/>
    <w:rsid w:val="7A8B51CB"/>
    <w:rsid w:val="7AB507FA"/>
    <w:rsid w:val="7AC634CB"/>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2">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批注框文本 字符"/>
    <w:basedOn w:val="17"/>
    <w:link w:val="11"/>
    <w:semiHidden/>
    <w:qFormat/>
    <w:uiPriority w:val="99"/>
    <w:rPr>
      <w:rFonts w:ascii="Segoe UI" w:hAnsi="Segoe UI" w:cs="Segoe UI"/>
      <w:sz w:val="18"/>
      <w:szCs w:val="18"/>
    </w:rPr>
  </w:style>
  <w:style w:type="character" w:customStyle="1" w:styleId="24">
    <w:name w:val="标题 2 字符"/>
    <w:basedOn w:val="17"/>
    <w:link w:val="3"/>
    <w:qFormat/>
    <w:uiPriority w:val="0"/>
    <w:rPr>
      <w:rFonts w:ascii="Arial" w:hAnsi="Arial" w:eastAsia="Times New Roman" w:cs="Times New Roman"/>
      <w:sz w:val="32"/>
      <w:szCs w:val="20"/>
      <w:lang w:val="en-GB"/>
    </w:rPr>
  </w:style>
  <w:style w:type="character" w:customStyle="1" w:styleId="25">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7"/>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7"/>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7"/>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7"/>
    <w:semiHidden/>
    <w:unhideWhenUsed/>
    <w:qFormat/>
    <w:uiPriority w:val="99"/>
    <w:rPr>
      <w:color w:val="808080"/>
      <w:shd w:val="clear" w:color="auto" w:fill="E6E6E6"/>
    </w:rPr>
  </w:style>
  <w:style w:type="character" w:customStyle="1" w:styleId="43">
    <w:name w:val="标题 4 字符"/>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7"/>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7"/>
    <w:link w:val="12"/>
    <w:semiHidden/>
    <w:qFormat/>
    <w:locked/>
    <w:uiPriority w:val="0"/>
    <w:rPr>
      <w:rFonts w:ascii="Tms Rmn" w:hAnsi="Tms Rmn"/>
      <w:b/>
      <w:sz w:val="18"/>
    </w:rPr>
  </w:style>
  <w:style w:type="character" w:customStyle="1" w:styleId="54">
    <w:name w:val="Header Char1"/>
    <w:basedOn w:val="17"/>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7"/>
    <w:link w:val="7"/>
    <w:semiHidden/>
    <w:qFormat/>
    <w:uiPriority w:val="99"/>
    <w:rPr>
      <w:rFonts w:ascii="Times New Roman" w:hAnsi="Times New Roman"/>
      <w:sz w:val="20"/>
      <w:szCs w:val="20"/>
    </w:rPr>
  </w:style>
  <w:style w:type="character" w:customStyle="1" w:styleId="58">
    <w:name w:val="批注主题 字符"/>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7"/>
    <w:link w:val="65"/>
    <w:qFormat/>
    <w:uiPriority w:val="0"/>
    <w:rPr>
      <w:rFonts w:hint="default" w:ascii="Arial" w:hAnsi="Arial" w:eastAsia="Times New Roman" w:cs="Arial"/>
      <w:sz w:val="18"/>
      <w:lang w:val="en-US"/>
    </w:rPr>
  </w:style>
  <w:style w:type="character" w:customStyle="1" w:styleId="68">
    <w:name w:val="TH Char"/>
    <w:basedOn w:val="17"/>
    <w:qFormat/>
    <w:uiPriority w:val="0"/>
    <w:rPr>
      <w:rFonts w:hint="default" w:ascii="Arial" w:hAnsi="Arial" w:eastAsia="Times New Roman" w:cs="Arial"/>
      <w:b/>
      <w:lang w:val="en-US"/>
    </w:rPr>
  </w:style>
  <w:style w:type="character" w:customStyle="1" w:styleId="69">
    <w:name w:val="TAH Car"/>
    <w:basedOn w:val="17"/>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159A7-E9D0-414E-8F00-668C05F5E06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2020-02-10T10:17:04Z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